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505050"/>
          <w:sz w:val="20"/>
          <w:szCs w:val="18"/>
          <w:lang w:val="en-US" w:eastAsia="nl-NL"/>
        </w:rPr>
      </w:pPr>
      <w:bookmarkStart w:id="0" w:name="_GoBack"/>
      <w:bookmarkEnd w:id="0"/>
      <w:r w:rsidRPr="00EE0D1C">
        <w:rPr>
          <w:rFonts w:ascii="Helvetica" w:eastAsia="Times New Roman" w:hAnsi="Helvetica" w:cs="Helvetica"/>
          <w:b/>
          <w:color w:val="505050"/>
          <w:sz w:val="20"/>
          <w:szCs w:val="18"/>
          <w:lang w:val="en-US" w:eastAsia="nl-NL"/>
        </w:rPr>
        <w:t>Onderwerpen ASCO-SEP programma</w:t>
      </w:r>
      <w:r>
        <w:rPr>
          <w:rFonts w:ascii="Helvetica" w:eastAsia="Times New Roman" w:hAnsi="Helvetica" w:cs="Helvetica"/>
          <w:b/>
          <w:color w:val="505050"/>
          <w:sz w:val="20"/>
          <w:szCs w:val="18"/>
          <w:lang w:val="en-US" w:eastAsia="nl-NL"/>
        </w:rPr>
        <w:t xml:space="preserve"> 2019. </w:t>
      </w:r>
    </w:p>
    <w:p w:rsid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Patient and Survivor Care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Professional Development and Ethics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Tumor Biology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Breast Cancer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Central Nervous System Tumors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Gastrointestinal Cancers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Genitourinary Cancers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Gynecologic Cancers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Head and Neck Cancer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Hematologic Cancers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Cancer Prevention/Epidemiology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Clinical Trials</w:t>
      </w:r>
    </w:p>
    <w:p w:rsidR="00EE0D1C" w:rsidRPr="00EE0D1C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EE0D1C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Developmental Therapeutics</w:t>
      </w:r>
    </w:p>
    <w:p w:rsidR="00EE0D1C" w:rsidRPr="004127AE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r w:rsidRPr="004127AE"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  <w:t>Geriatric Oncology</w:t>
      </w:r>
    </w:p>
    <w:p w:rsidR="00EE0D1C" w:rsidRPr="004127AE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</w:p>
    <w:p w:rsidR="00EE0D1C" w:rsidRPr="004127AE" w:rsidRDefault="00CD38DA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  <w:hyperlink r:id="rId7" w:history="1">
        <w:r w:rsidR="00EE0D1C" w:rsidRPr="004127AE">
          <w:rPr>
            <w:rStyle w:val="Hyperlink"/>
            <w:rFonts w:ascii="Helvetica" w:eastAsia="Times New Roman" w:hAnsi="Helvetica" w:cs="Helvetica"/>
            <w:sz w:val="18"/>
            <w:szCs w:val="18"/>
            <w:lang w:val="en-US" w:eastAsia="nl-NL"/>
          </w:rPr>
          <w:t>https://university.asco.org/asco-sep-6th-edition-1</w:t>
        </w:r>
      </w:hyperlink>
    </w:p>
    <w:p w:rsidR="00EE0D1C" w:rsidRPr="004127AE" w:rsidRDefault="00EE0D1C" w:rsidP="00EE0D1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05050"/>
          <w:sz w:val="18"/>
          <w:szCs w:val="18"/>
          <w:lang w:val="en-US" w:eastAsia="nl-NL"/>
        </w:rPr>
      </w:pPr>
    </w:p>
    <w:p w:rsidR="00227463" w:rsidRPr="004127AE" w:rsidRDefault="00227463">
      <w:pPr>
        <w:rPr>
          <w:lang w:val="en-US"/>
        </w:rPr>
      </w:pPr>
    </w:p>
    <w:sectPr w:rsidR="00227463" w:rsidRPr="004127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DA" w:rsidRDefault="00CD38DA" w:rsidP="00EE0D1C">
      <w:pPr>
        <w:spacing w:after="0" w:line="240" w:lineRule="auto"/>
      </w:pPr>
      <w:r>
        <w:separator/>
      </w:r>
    </w:p>
  </w:endnote>
  <w:endnote w:type="continuationSeparator" w:id="0">
    <w:p w:rsidR="00CD38DA" w:rsidRDefault="00CD38DA" w:rsidP="00EE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1C" w:rsidRPr="004127AE" w:rsidRDefault="004127AE" w:rsidP="004127AE">
    <w:pPr>
      <w:pStyle w:val="Footer"/>
    </w:pPr>
    <w:fldSimple w:instr=" DOCPROPERTY bjFooterEvenPageDocProperty \* MERGEFORMAT " w:fldLock="1">
      <w:r w:rsidRPr="004127AE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1C" w:rsidRPr="004127AE" w:rsidRDefault="004127AE" w:rsidP="004127AE">
    <w:pPr>
      <w:pStyle w:val="Footer"/>
    </w:pPr>
    <w:fldSimple w:instr=" DOCPROPERTY bjFooterBothDocProperty \* MERGEFORMAT " w:fldLock="1">
      <w:r w:rsidRPr="004127AE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1C" w:rsidRPr="004127AE" w:rsidRDefault="004127AE" w:rsidP="004127AE">
    <w:pPr>
      <w:pStyle w:val="Footer"/>
    </w:pPr>
    <w:fldSimple w:instr=" DOCPROPERTY bjFooterFirstPageDocProperty \* MERGEFORMAT " w:fldLock="1">
      <w:r w:rsidRPr="004127AE">
        <w:rPr>
          <w:rFonts w:ascii="Arial" w:hAnsi="Arial" w:cs="Arial"/>
          <w:color w:val="7F7F7F"/>
          <w:sz w:val="16"/>
        </w:rPr>
        <w:t>Amgen Proprietary - For Internal Use Only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DA" w:rsidRDefault="00CD38DA" w:rsidP="00EE0D1C">
      <w:pPr>
        <w:spacing w:after="0" w:line="240" w:lineRule="auto"/>
      </w:pPr>
      <w:r>
        <w:separator/>
      </w:r>
    </w:p>
  </w:footnote>
  <w:footnote w:type="continuationSeparator" w:id="0">
    <w:p w:rsidR="00CD38DA" w:rsidRDefault="00CD38DA" w:rsidP="00EE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7AE" w:rsidRDefault="0041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7AE" w:rsidRDefault="00412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7AE" w:rsidRDefault="00412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1C"/>
    <w:rsid w:val="00227463"/>
    <w:rsid w:val="002E051C"/>
    <w:rsid w:val="004127AE"/>
    <w:rsid w:val="00CD38DA"/>
    <w:rsid w:val="00E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F803BD-F7E8-4756-9A67-605A1705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1C"/>
  </w:style>
  <w:style w:type="paragraph" w:styleId="Footer">
    <w:name w:val="footer"/>
    <w:basedOn w:val="Normal"/>
    <w:link w:val="FooterChar"/>
    <w:uiPriority w:val="99"/>
    <w:unhideWhenUsed/>
    <w:rsid w:val="00EE0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1C"/>
  </w:style>
  <w:style w:type="character" w:styleId="Hyperlink">
    <w:name w:val="Hyperlink"/>
    <w:basedOn w:val="DefaultParagraphFont"/>
    <w:uiPriority w:val="99"/>
    <w:unhideWhenUsed/>
    <w:rsid w:val="00EE0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niversity.asco.org/asco-sep-6th-edition-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f057fdcd-f1c4-417c-a7f8-9d10d102e03d" value=""/>
  <element uid="9036a7a1-5a4f-48d3-b24b-dfdab053dac9" value=""/>
  <element uid="03e9b10b-a1f9-4a88-9630-476473f62285" value=""/>
</sisl>
</file>

<file path=customXml/itemProps1.xml><?xml version="1.0" encoding="utf-8"?>
<ds:datastoreItem xmlns:ds="http://schemas.openxmlformats.org/officeDocument/2006/customXml" ds:itemID="{1D44AF1D-DBC3-4979-95C8-C9E5420977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Ben</dc:creator>
  <cp:keywords>*$%IU-*$%GenBus</cp:keywords>
  <dc:description/>
  <cp:lastModifiedBy>Meulenberg, Miriam</cp:lastModifiedBy>
  <cp:revision>2</cp:revision>
  <dcterms:created xsi:type="dcterms:W3CDTF">2020-03-24T10:35:00Z</dcterms:created>
  <dcterms:modified xsi:type="dcterms:W3CDTF">2020-03-24T10:35:00Z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68dc373f-5336-44c7-b8ed-6923fdc1c3ba</vt:lpwstr>
  </property>
  <property fmtid="{D5CDD505-2E9C-101B-9397-08002B2CF9AE}" pid="3" name="bjSaver">
    <vt:lpwstr>Dq3GvaXCNAVJ+UY4hgNhPIJIU9fHd8f1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uid="f057fdcd-f1c4-417c-a7f8-9d10d102e03d" value="" /&gt;&lt;element uid="9036a7a1-5a4f-48d3-b24b-dfdab053dac9" value="" /&gt;&lt;element uid="03e9b10b-a1f9-4a88-9630-476473f62285" value="" /&gt;&lt;/sisl&gt;</vt:lpwstr>
  </property>
  <property fmtid="{D5CDD505-2E9C-101B-9397-08002B2CF9AE}" pid="6" name="bjDocumentSecurityLabel">
    <vt:lpwstr>Internal Use Only - General Business</vt:lpwstr>
  </property>
  <property fmtid="{D5CDD505-2E9C-101B-9397-08002B2CF9AE}" pid="7" name="bjFooterBothDocProperty">
    <vt:lpwstr>Amgen Proprietary - For Internal Use Only</vt:lpwstr>
  </property>
  <property fmtid="{D5CDD505-2E9C-101B-9397-08002B2CF9AE}" pid="8" name="bjFooterFirstPageDocProperty">
    <vt:lpwstr>Amgen Proprietary - For Internal Use Only</vt:lpwstr>
  </property>
  <property fmtid="{D5CDD505-2E9C-101B-9397-08002B2CF9AE}" pid="9" name="bjFooterEvenPageDocProperty">
    <vt:lpwstr>Amgen Proprietary - For Internal Use Only</vt:lpwstr>
  </property>
</Properties>
</file>